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64D8FF"/>
          <w:sz w:val="18"/>
        </w:rPr>
        <w:t>BACIU.COM</w:t>
      </w:r>
    </w:p>
    <w:p>
      <w:pPr>
        <w:pStyle w:val="Title"/>
      </w:pPr>
      <w:r>
        <w:t>Governance control matrix policy template</w:t>
      </w:r>
    </w:p>
    <w:p>
      <w:r>
        <w:t>Policy template for mapping AI authority, data access, approvals, observability, and incident response.</w:t>
      </w:r>
    </w:p>
    <w:p>
      <w:pPr>
        <w:pStyle w:val="Heading1"/>
      </w:pPr>
      <w:r>
        <w:t>Policy scope</w:t>
      </w:r>
    </w:p>
    <w:p>
      <w:pPr>
        <w:pStyle w:val="ListBullet"/>
      </w:pPr>
      <w:r>
        <w:t>Define system purpose, user groups, data classes, and allowed actions.</w:t>
      </w:r>
    </w:p>
    <w:p>
      <w:pPr>
        <w:pStyle w:val="ListBullet"/>
      </w:pPr>
      <w:r>
        <w:t>Document authority level for assist, recommend, act with approval, and autonomous action.</w:t>
      </w:r>
    </w:p>
    <w:p>
      <w:pPr>
        <w:pStyle w:val="Heading1"/>
      </w:pPr>
      <w:r>
        <w:t>Control evidence</w:t>
      </w:r>
    </w:p>
    <w:p>
      <w:pPr>
        <w:pStyle w:val="ListBullet"/>
      </w:pPr>
      <w:r>
        <w:t>Attach access policy exports, trace samples, approval records, and incident tabletop notes.</w:t>
      </w:r>
    </w:p>
    <w:p>
      <w:pPr>
        <w:pStyle w:val="ListBullet"/>
      </w:pPr>
      <w:r>
        <w:t>Review controls before pilot, before production, and after any material change.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vAlign w:val="center"/>
          </w:tcPr>
          <w:p>
            <w:r>
              <w:rPr>
                <w:b/>
              </w:rPr>
              <w:t>Control</w:t>
            </w:r>
          </w:p>
        </w:tc>
        <w:tc>
          <w:tcPr>
            <w:tcW w:type="dxa" w:w="3408"/>
            <w:vAlign w:val="center"/>
          </w:tcPr>
          <w:p>
            <w:r>
              <w:rPr>
                <w:b/>
              </w:rPr>
              <w:t>Minimum evidence</w:t>
            </w:r>
          </w:p>
        </w:tc>
        <w:tc>
          <w:tcPr>
            <w:tcW w:type="dxa" w:w="3408"/>
            <w:vAlign w:val="center"/>
          </w:tcPr>
          <w:p>
            <w:r>
              <w:rPr>
                <w:b/>
              </w:rPr>
              <w:t>Review cadence</w:t>
            </w:r>
          </w:p>
        </w:tc>
      </w:tr>
      <w:tr>
        <w:tc>
          <w:tcPr>
            <w:tcW w:type="dxa" w:w="3408"/>
          </w:tcPr>
          <w:p>
            <w:r>
              <w:t>Data boundary</w:t>
            </w:r>
          </w:p>
        </w:tc>
        <w:tc>
          <w:tcPr>
            <w:tcW w:type="dxa" w:w="3408"/>
          </w:tcPr>
          <w:p>
            <w:r>
              <w:t>Permission matrix and denied-access test</w:t>
            </w:r>
          </w:p>
        </w:tc>
        <w:tc>
          <w:tcPr>
            <w:tcW w:type="dxa" w:w="3408"/>
          </w:tcPr>
          <w:p>
            <w:r>
              <w:t>Monthly</w:t>
            </w:r>
          </w:p>
        </w:tc>
      </w:tr>
      <w:tr>
        <w:tc>
          <w:tcPr>
            <w:tcW w:type="dxa" w:w="3408"/>
          </w:tcPr>
          <w:p>
            <w:r>
              <w:t>Tool authority</w:t>
            </w:r>
          </w:p>
        </w:tc>
        <w:tc>
          <w:tcPr>
            <w:tcW w:type="dxa" w:w="3408"/>
          </w:tcPr>
          <w:p>
            <w:r>
              <w:t>Tool schema and idempotency review</w:t>
            </w:r>
          </w:p>
        </w:tc>
        <w:tc>
          <w:tcPr>
            <w:tcW w:type="dxa" w:w="3408"/>
          </w:tcPr>
          <w:p>
            <w:r>
              <w:t>Per release</w:t>
            </w:r>
          </w:p>
        </w:tc>
      </w:tr>
      <w:tr>
        <w:tc>
          <w:tcPr>
            <w:tcW w:type="dxa" w:w="3408"/>
          </w:tcPr>
          <w:p>
            <w:r>
              <w:t>Approval</w:t>
            </w:r>
          </w:p>
        </w:tc>
        <w:tc>
          <w:tcPr>
            <w:tcW w:type="dxa" w:w="3408"/>
          </w:tcPr>
          <w:p>
            <w:r>
              <w:t>Approval threshold cases and sampled decisions</w:t>
            </w:r>
          </w:p>
        </w:tc>
        <w:tc>
          <w:tcPr>
            <w:tcW w:type="dxa" w:w="3408"/>
          </w:tcPr>
          <w:p>
            <w:r>
              <w:t>Quarterly</w:t>
            </w:r>
          </w:p>
        </w:tc>
      </w:tr>
    </w:tbl>
    <w:p/>
    <w:p>
      <w:r>
        <w:t>Use this template as a controlled starting point. Replace placeholders with customer evidence, owners, and dates before external distribution.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7090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7090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7090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