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64D8FF"/>
          <w:sz w:val="18"/>
        </w:rPr>
        <w:t>BACIU.COM</w:t>
      </w:r>
    </w:p>
    <w:p>
      <w:pPr>
        <w:pStyle w:val="Title"/>
      </w:pPr>
      <w:r>
        <w:t>Model operations incident SOP</w:t>
      </w:r>
    </w:p>
    <w:p>
      <w:r>
        <w:t>Standard operating procedure for model routing, quality, latency, cost, and provider incidents.</w:t>
      </w:r>
    </w:p>
    <w:p>
      <w:pPr>
        <w:pStyle w:val="Heading1"/>
      </w:pPr>
      <w:r>
        <w:t>Triage</w:t>
      </w:r>
    </w:p>
    <w:p>
      <w:pPr>
        <w:pStyle w:val="ListBullet"/>
      </w:pPr>
      <w:r>
        <w:t>Classify severity from unsafe action, data exposure, material quality regression, outage, or cost runaway.</w:t>
      </w:r>
    </w:p>
    <w:p>
      <w:pPr>
        <w:pStyle w:val="ListBullet"/>
      </w:pPr>
      <w:r>
        <w:t>Open incident channel and assign commander, operations lead, platform owner, and communications owner.</w:t>
      </w:r>
    </w:p>
    <w:p>
      <w:pPr>
        <w:pStyle w:val="Heading1"/>
      </w:pPr>
      <w:r>
        <w:t>Containment</w:t>
      </w:r>
    </w:p>
    <w:p>
      <w:pPr>
        <w:pStyle w:val="ListBullet"/>
      </w:pPr>
      <w:r>
        <w:t>Disable affected route, switch fallback model, pause tool, or move workflow to human-only mode.</w:t>
      </w:r>
    </w:p>
    <w:p>
      <w:pPr>
        <w:pStyle w:val="ListBullet"/>
      </w:pPr>
      <w:r>
        <w:t>Capture traces, prompts, citations, tool calls, and customer impact before cleanup.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vAlign w:val="center"/>
          </w:tcPr>
          <w:p>
            <w:r>
              <w:rPr>
                <w:b/>
              </w:rPr>
              <w:t>Severity</w:t>
            </w:r>
          </w:p>
        </w:tc>
        <w:tc>
          <w:tcPr>
            <w:tcW w:type="dxa" w:w="3408"/>
            <w:vAlign w:val="center"/>
          </w:tcPr>
          <w:p>
            <w:r>
              <w:rPr>
                <w:b/>
              </w:rPr>
              <w:t>Response target</w:t>
            </w:r>
          </w:p>
        </w:tc>
        <w:tc>
          <w:tcPr>
            <w:tcW w:type="dxa" w:w="3408"/>
            <w:vAlign w:val="center"/>
          </w:tcPr>
          <w:p>
            <w:r>
              <w:rPr>
                <w:b/>
              </w:rPr>
              <w:t>Default action</w:t>
            </w:r>
          </w:p>
        </w:tc>
      </w:tr>
      <w:tr>
        <w:tc>
          <w:tcPr>
            <w:tcW w:type="dxa" w:w="3408"/>
          </w:tcPr>
          <w:p>
            <w:r>
              <w:t>S1</w:t>
            </w:r>
          </w:p>
        </w:tc>
        <w:tc>
          <w:tcPr>
            <w:tcW w:type="dxa" w:w="3408"/>
          </w:tcPr>
          <w:p>
            <w:r>
              <w:t>15 minutes</w:t>
            </w:r>
          </w:p>
        </w:tc>
        <w:tc>
          <w:tcPr>
            <w:tcW w:type="dxa" w:w="3408"/>
          </w:tcPr>
          <w:p>
            <w:r>
              <w:t>Disable route and notify incident commander</w:t>
            </w:r>
          </w:p>
        </w:tc>
      </w:tr>
      <w:tr>
        <w:tc>
          <w:tcPr>
            <w:tcW w:type="dxa" w:w="3408"/>
          </w:tcPr>
          <w:p>
            <w:r>
              <w:t>S2</w:t>
            </w:r>
          </w:p>
        </w:tc>
        <w:tc>
          <w:tcPr>
            <w:tcW w:type="dxa" w:w="3408"/>
          </w:tcPr>
          <w:p>
            <w:r>
              <w:t>60 minutes</w:t>
            </w:r>
          </w:p>
        </w:tc>
        <w:tc>
          <w:tcPr>
            <w:tcW w:type="dxa" w:w="3408"/>
          </w:tcPr>
          <w:p>
            <w:r>
              <w:t>Fallback route and open regression ticket</w:t>
            </w:r>
          </w:p>
        </w:tc>
      </w:tr>
      <w:tr>
        <w:tc>
          <w:tcPr>
            <w:tcW w:type="dxa" w:w="3408"/>
          </w:tcPr>
          <w:p>
            <w:r>
              <w:t>S3</w:t>
            </w:r>
          </w:p>
        </w:tc>
        <w:tc>
          <w:tcPr>
            <w:tcW w:type="dxa" w:w="3408"/>
          </w:tcPr>
          <w:p>
            <w:r>
              <w:t>240 minutes</w:t>
            </w:r>
          </w:p>
        </w:tc>
        <w:tc>
          <w:tcPr>
            <w:tcW w:type="dxa" w:w="3408"/>
          </w:tcPr>
          <w:p>
            <w:r>
              <w:t>Tune routing or budget guardrail</w:t>
            </w:r>
          </w:p>
        </w:tc>
      </w:tr>
    </w:tbl>
    <w:p/>
    <w:p>
      <w:r>
        <w:t>Use this template as a controlled starting point. Replace placeholders with customer evidence, owners, and dates before external distribution.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7090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7090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7090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